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sz w:val="28"/>
        </w:rPr>
        <w:t>Orientações e Direções para</w:t>
      </w:r>
    </w:p>
    <w:p>
      <w:pPr>
        <w:jc w:val="center"/>
      </w:pPr>
      <w:r>
        <w:rPr>
          <w:b/>
          <w:color w:val="2E6B1F"/>
          <w:sz w:val="52"/>
        </w:rPr>
        <w:t>as Células de Liderança</w:t>
      </w:r>
    </w:p>
    <w:p>
      <w:pPr>
        <w:jc w:val="center"/>
      </w:pPr>
      <w:r>
        <w:rPr>
          <w:sz w:val="28"/>
        </w:rPr>
        <w:t>2025</w:t>
      </w:r>
    </w:p>
    <w:p>
      <w:pPr>
        <w:jc w:val="center"/>
      </w:pPr>
      <w:r>
        <w:rPr>
          <w:i/>
          <w:sz w:val="22"/>
        </w:rPr>
        <w:t>#céluladeliderança</w:t>
      </w:r>
    </w:p>
    <w:p>
      <w:pPr>
        <w:spacing w:after="0"/>
      </w:pPr>
    </w:p>
    <w:p>
      <w:pPr>
        <w:spacing w:before="80" w:after="40"/>
      </w:pPr>
      <w:r>
        <w:rPr>
          <w:b/>
          <w:color w:val="2E6B1F"/>
          <w:sz w:val="30"/>
        </w:rPr>
        <w:t xml:space="preserve">1. </w:t>
      </w:r>
      <w:r>
        <w:rPr>
          <w:b/>
          <w:sz w:val="30"/>
        </w:rPr>
        <w:t>Frequência</w:t>
      </w:r>
    </w:p>
    <w:p>
      <w:pPr>
        <w:spacing w:before="80" w:after="40"/>
      </w:pPr>
      <w:r>
        <w:rPr>
          <w:b/>
          <w:color w:val="2E6B1F"/>
          <w:sz w:val="30"/>
        </w:rPr>
        <w:t xml:space="preserve">2. </w:t>
      </w:r>
      <w:r>
        <w:rPr>
          <w:b/>
          <w:sz w:val="30"/>
        </w:rPr>
        <w:t>Duração</w:t>
      </w:r>
    </w:p>
    <w:p>
      <w:pPr>
        <w:spacing w:before="80" w:after="40"/>
      </w:pPr>
      <w:r>
        <w:rPr>
          <w:b/>
          <w:color w:val="2E6B1F"/>
          <w:sz w:val="30"/>
        </w:rPr>
        <w:t xml:space="preserve">3. </w:t>
      </w:r>
      <w:r>
        <w:rPr>
          <w:b/>
          <w:sz w:val="30"/>
        </w:rPr>
        <w:t>Receba para passar</w:t>
      </w:r>
    </w:p>
    <w:p>
      <w:pPr>
        <w:spacing w:before="80" w:after="40"/>
      </w:pPr>
      <w:r>
        <w:rPr>
          <w:b/>
          <w:color w:val="2E6B1F"/>
          <w:sz w:val="30"/>
        </w:rPr>
        <w:t xml:space="preserve">4. </w:t>
      </w:r>
      <w:r>
        <w:rPr>
          <w:b/>
          <w:sz w:val="30"/>
        </w:rPr>
        <w:t>Tempo de comunhão e crescimento</w:t>
      </w:r>
    </w:p>
    <w:p>
      <w:pPr>
        <w:spacing w:before="80" w:after="40"/>
      </w:pPr>
      <w:r>
        <w:rPr>
          <w:b/>
          <w:color w:val="2E6B1F"/>
          <w:sz w:val="30"/>
        </w:rPr>
        <w:t xml:space="preserve">5. </w:t>
      </w:r>
      <w:r>
        <w:rPr>
          <w:b/>
          <w:sz w:val="30"/>
        </w:rPr>
        <w:t>Ambiente de liberdade e unção</w:t>
      </w:r>
    </w:p>
    <w:p>
      <w:pPr>
        <w:spacing w:before="80" w:after="40"/>
      </w:pPr>
      <w:r>
        <w:rPr>
          <w:b/>
          <w:color w:val="2E6B1F"/>
          <w:sz w:val="30"/>
        </w:rPr>
        <w:t xml:space="preserve">6. </w:t>
      </w:r>
      <w:r>
        <w:rPr>
          <w:b/>
          <w:sz w:val="30"/>
        </w:rPr>
        <w:t>Lanche</w:t>
      </w:r>
    </w:p>
    <w:p>
      <w:pPr>
        <w:spacing w:before="80" w:after="40"/>
      </w:pPr>
      <w:r>
        <w:rPr>
          <w:b/>
          <w:color w:val="2E6B1F"/>
          <w:sz w:val="30"/>
        </w:rPr>
        <w:t xml:space="preserve">7. </w:t>
      </w:r>
      <w:r>
        <w:rPr>
          <w:b/>
          <w:sz w:val="30"/>
        </w:rPr>
        <w:t>Seja assíduo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